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5C23C" w14:textId="77777777" w:rsidR="00471382" w:rsidRPr="00471382" w:rsidRDefault="00471382" w:rsidP="00471382">
      <w:pPr>
        <w:spacing w:after="40" w:line="240" w:lineRule="auto"/>
        <w:rPr>
          <w:b/>
          <w:bCs/>
        </w:rPr>
      </w:pPr>
      <w:r w:rsidRPr="00471382">
        <w:rPr>
          <w:b/>
          <w:bCs/>
        </w:rPr>
        <w:t>Task 1: Oscillatory Mode Characterization of PMU Measurements</w:t>
      </w:r>
    </w:p>
    <w:p w14:paraId="493926ED" w14:textId="77777777" w:rsidR="00471382" w:rsidRPr="00471382" w:rsidRDefault="00471382" w:rsidP="00471382">
      <w:pPr>
        <w:spacing w:after="40" w:line="240" w:lineRule="auto"/>
        <w:rPr>
          <w:b/>
          <w:bCs/>
        </w:rPr>
      </w:pPr>
      <w:r w:rsidRPr="00471382">
        <w:rPr>
          <w:b/>
          <w:bCs/>
        </w:rPr>
        <w:t>Objective</w:t>
      </w:r>
    </w:p>
    <w:p w14:paraId="3097359B" w14:textId="77777777" w:rsidR="00471382" w:rsidRPr="00471382" w:rsidRDefault="00471382" w:rsidP="00471382">
      <w:pPr>
        <w:spacing w:after="40" w:line="240" w:lineRule="auto"/>
      </w:pPr>
      <w:r w:rsidRPr="00471382">
        <w:t>Develop and implement an automated analytical capability to periodically retrieve historical PMU data and characterize the oscillatory behavior present within the PMU fleet. The capability shall identify and quantify dominant oscillatory modes and associated characteristics, including frequency, amplitude, damping ratio, phase relationships, mode shape, temporal persistence, and confidence. The process shall support efficient analysis of large PMU datasets and provide actionable insights into oscillatory behavior observed across the power system.</w:t>
      </w:r>
    </w:p>
    <w:p w14:paraId="33F04E2E" w14:textId="77777777" w:rsidR="00471382" w:rsidRPr="00471382" w:rsidRDefault="00471382" w:rsidP="00471382">
      <w:pPr>
        <w:spacing w:after="40" w:line="240" w:lineRule="auto"/>
        <w:rPr>
          <w:b/>
          <w:bCs/>
        </w:rPr>
      </w:pPr>
      <w:r w:rsidRPr="00471382">
        <w:rPr>
          <w:b/>
          <w:bCs/>
        </w:rPr>
        <w:t>Process</w:t>
      </w:r>
    </w:p>
    <w:p w14:paraId="24F41081" w14:textId="77777777" w:rsidR="00471382" w:rsidRPr="00471382" w:rsidRDefault="00471382" w:rsidP="00471382">
      <w:pPr>
        <w:spacing w:after="40" w:line="240" w:lineRule="auto"/>
      </w:pPr>
      <w:r w:rsidRPr="00471382">
        <w:rPr>
          <w:b/>
          <w:bCs/>
        </w:rPr>
        <w:t>1. Automated Data Retrieval and Screening</w:t>
      </w:r>
    </w:p>
    <w:p w14:paraId="4229FDE1" w14:textId="77777777" w:rsidR="00471382" w:rsidRPr="00471382" w:rsidRDefault="00471382" w:rsidP="00471382">
      <w:pPr>
        <w:numPr>
          <w:ilvl w:val="0"/>
          <w:numId w:val="3"/>
        </w:numPr>
        <w:spacing w:after="40" w:line="240" w:lineRule="auto"/>
      </w:pPr>
      <w:r w:rsidRPr="00471382">
        <w:t>Automatically retrieve historical PMU data at configurable intervals (e.g., daily processing of 30-minute data windows).</w:t>
      </w:r>
    </w:p>
    <w:p w14:paraId="5FFD727C" w14:textId="77777777" w:rsidR="00471382" w:rsidRPr="00471382" w:rsidRDefault="00471382" w:rsidP="00471382">
      <w:pPr>
        <w:numPr>
          <w:ilvl w:val="0"/>
          <w:numId w:val="3"/>
        </w:numPr>
        <w:spacing w:after="40" w:line="240" w:lineRule="auto"/>
      </w:pPr>
      <w:r w:rsidRPr="00471382">
        <w:t>Perform data quality checks and preprocessing.</w:t>
      </w:r>
    </w:p>
    <w:p w14:paraId="191DDF68" w14:textId="77777777" w:rsidR="00471382" w:rsidRPr="00471382" w:rsidRDefault="00471382" w:rsidP="00471382">
      <w:pPr>
        <w:numPr>
          <w:ilvl w:val="0"/>
          <w:numId w:val="3"/>
        </w:numPr>
        <w:spacing w:after="40" w:line="240" w:lineRule="auto"/>
      </w:pPr>
      <w:r w:rsidRPr="00471382">
        <w:t xml:space="preserve">Identify significant oscillation events and disturbances and optionally exclude those periods from ambient-mode analysis to prevent event-driven oscillations from skewing results. </w:t>
      </w:r>
      <w:r w:rsidRPr="00471382">
        <w:rPr>
          <w:i/>
          <w:iCs/>
        </w:rPr>
        <w:t>(Real-time oscillation detection and alarming are addressed through a separate online process.)</w:t>
      </w:r>
    </w:p>
    <w:p w14:paraId="2A1062E3" w14:textId="77777777" w:rsidR="00471382" w:rsidRPr="00471382" w:rsidRDefault="00471382" w:rsidP="00471382">
      <w:pPr>
        <w:spacing w:after="40" w:line="240" w:lineRule="auto"/>
      </w:pPr>
      <w:r w:rsidRPr="00471382">
        <w:rPr>
          <w:b/>
          <w:bCs/>
        </w:rPr>
        <w:t>2. Frequency-Domain Analysis</w:t>
      </w:r>
    </w:p>
    <w:p w14:paraId="51AE6A97" w14:textId="77777777" w:rsidR="00471382" w:rsidRPr="00471382" w:rsidRDefault="00471382" w:rsidP="00471382">
      <w:pPr>
        <w:numPr>
          <w:ilvl w:val="0"/>
          <w:numId w:val="4"/>
        </w:numPr>
        <w:spacing w:after="40" w:line="240" w:lineRule="auto"/>
      </w:pPr>
      <w:r w:rsidRPr="00471382">
        <w:t>Divide the dataset into configurable analysis windows (e.g., 5–10 minutes).</w:t>
      </w:r>
    </w:p>
    <w:p w14:paraId="2B3C11AD" w14:textId="77777777" w:rsidR="00471382" w:rsidRPr="00471382" w:rsidRDefault="00471382" w:rsidP="00471382">
      <w:pPr>
        <w:numPr>
          <w:ilvl w:val="0"/>
          <w:numId w:val="4"/>
        </w:numPr>
        <w:spacing w:after="40" w:line="240" w:lineRule="auto"/>
      </w:pPr>
      <w:r w:rsidRPr="00471382">
        <w:t>Perform frequency-domain analysis (FFT, PSD, spectrograms) to identify dominant frequency content and oscillatory energy.</w:t>
      </w:r>
    </w:p>
    <w:p w14:paraId="3A7EE620" w14:textId="77777777" w:rsidR="00471382" w:rsidRPr="00471382" w:rsidRDefault="00471382" w:rsidP="00471382">
      <w:pPr>
        <w:numPr>
          <w:ilvl w:val="0"/>
          <w:numId w:val="4"/>
        </w:numPr>
        <w:spacing w:after="40" w:line="240" w:lineRule="auto"/>
      </w:pPr>
      <w:r w:rsidRPr="00471382">
        <w:t>Track changes in spectral characteristics across analysis windows to assess persistence and temporal variability.</w:t>
      </w:r>
    </w:p>
    <w:p w14:paraId="314F3005" w14:textId="77777777" w:rsidR="00471382" w:rsidRPr="00471382" w:rsidRDefault="00471382" w:rsidP="00471382">
      <w:pPr>
        <w:spacing w:after="40" w:line="240" w:lineRule="auto"/>
      </w:pPr>
      <w:r w:rsidRPr="00471382">
        <w:rPr>
          <w:b/>
          <w:bCs/>
        </w:rPr>
        <w:t>3. Modal Characterization</w:t>
      </w:r>
    </w:p>
    <w:p w14:paraId="45F1F3DA" w14:textId="7FE44FA8" w:rsidR="00471382" w:rsidRPr="00471382" w:rsidRDefault="00471382" w:rsidP="00471382">
      <w:pPr>
        <w:numPr>
          <w:ilvl w:val="0"/>
          <w:numId w:val="5"/>
        </w:numPr>
        <w:spacing w:after="40" w:line="240" w:lineRule="auto"/>
      </w:pPr>
      <w:r w:rsidRPr="00471382">
        <w:t xml:space="preserve">Apply modal identification techniques (e.g., Yule-Walker) to estimate: </w:t>
      </w:r>
    </w:p>
    <w:p w14:paraId="6E24C956" w14:textId="77777777" w:rsidR="00471382" w:rsidRPr="00471382" w:rsidRDefault="00471382" w:rsidP="00471382">
      <w:pPr>
        <w:numPr>
          <w:ilvl w:val="1"/>
          <w:numId w:val="5"/>
        </w:numPr>
        <w:spacing w:after="40" w:line="240" w:lineRule="auto"/>
      </w:pPr>
      <w:r w:rsidRPr="00471382">
        <w:t>Oscillation frequency</w:t>
      </w:r>
    </w:p>
    <w:p w14:paraId="144CCB9A" w14:textId="77777777" w:rsidR="00471382" w:rsidRPr="00471382" w:rsidRDefault="00471382" w:rsidP="00471382">
      <w:pPr>
        <w:numPr>
          <w:ilvl w:val="1"/>
          <w:numId w:val="5"/>
        </w:numPr>
        <w:spacing w:after="40" w:line="240" w:lineRule="auto"/>
      </w:pPr>
      <w:r w:rsidRPr="00471382">
        <w:t>Amplitude</w:t>
      </w:r>
    </w:p>
    <w:p w14:paraId="612B8106" w14:textId="77777777" w:rsidR="00471382" w:rsidRPr="00471382" w:rsidRDefault="00471382" w:rsidP="00471382">
      <w:pPr>
        <w:numPr>
          <w:ilvl w:val="1"/>
          <w:numId w:val="5"/>
        </w:numPr>
        <w:spacing w:after="40" w:line="240" w:lineRule="auto"/>
      </w:pPr>
      <w:r w:rsidRPr="00471382">
        <w:t>Damping ratio</w:t>
      </w:r>
    </w:p>
    <w:p w14:paraId="5D01B837" w14:textId="77777777" w:rsidR="00471382" w:rsidRPr="00471382" w:rsidRDefault="00471382" w:rsidP="00471382">
      <w:pPr>
        <w:numPr>
          <w:ilvl w:val="1"/>
          <w:numId w:val="5"/>
        </w:numPr>
        <w:spacing w:after="40" w:line="240" w:lineRule="auto"/>
      </w:pPr>
      <w:r w:rsidRPr="00471382">
        <w:t>Growth/decay characteristics</w:t>
      </w:r>
    </w:p>
    <w:p w14:paraId="26050B8B" w14:textId="77777777" w:rsidR="00471382" w:rsidRPr="00471382" w:rsidRDefault="00471382" w:rsidP="00471382">
      <w:pPr>
        <w:numPr>
          <w:ilvl w:val="1"/>
          <w:numId w:val="5"/>
        </w:numPr>
        <w:spacing w:after="40" w:line="240" w:lineRule="auto"/>
      </w:pPr>
      <w:r w:rsidRPr="00471382">
        <w:t>Mode confidence</w:t>
      </w:r>
    </w:p>
    <w:p w14:paraId="2A98AD1D" w14:textId="77777777" w:rsidR="00471382" w:rsidRPr="00471382" w:rsidRDefault="00471382" w:rsidP="00471382">
      <w:pPr>
        <w:numPr>
          <w:ilvl w:val="0"/>
          <w:numId w:val="5"/>
        </w:numPr>
        <w:spacing w:after="40" w:line="240" w:lineRule="auto"/>
      </w:pPr>
      <w:r w:rsidRPr="00471382">
        <w:t>Identify persistent and poorly damped oscillatory modes that may warrant further engineering investigation.</w:t>
      </w:r>
    </w:p>
    <w:p w14:paraId="3E35EE4D" w14:textId="77777777" w:rsidR="00471382" w:rsidRPr="00471382" w:rsidRDefault="00471382" w:rsidP="00471382">
      <w:pPr>
        <w:spacing w:after="40" w:line="240" w:lineRule="auto"/>
      </w:pPr>
      <w:r w:rsidRPr="00471382">
        <w:rPr>
          <w:b/>
          <w:bCs/>
        </w:rPr>
        <w:t>4. Fleet-Wide Oscillation Assessment</w:t>
      </w:r>
    </w:p>
    <w:p w14:paraId="3603E5BA" w14:textId="77777777" w:rsidR="00471382" w:rsidRPr="00471382" w:rsidRDefault="00471382" w:rsidP="00471382">
      <w:pPr>
        <w:numPr>
          <w:ilvl w:val="0"/>
          <w:numId w:val="6"/>
        </w:numPr>
        <w:spacing w:after="40" w:line="240" w:lineRule="auto"/>
      </w:pPr>
      <w:r w:rsidRPr="00471382">
        <w:t>Evaluate modal observability across PMUs.</w:t>
      </w:r>
    </w:p>
    <w:p w14:paraId="4E90DDAC" w14:textId="77777777" w:rsidR="00471382" w:rsidRPr="00471382" w:rsidRDefault="00471382" w:rsidP="00471382">
      <w:pPr>
        <w:numPr>
          <w:ilvl w:val="0"/>
          <w:numId w:val="6"/>
        </w:numPr>
        <w:spacing w:after="40" w:line="240" w:lineRule="auto"/>
      </w:pPr>
      <w:r w:rsidRPr="00471382">
        <w:t xml:space="preserve">Determine relative </w:t>
      </w:r>
      <w:proofErr w:type="gramStart"/>
      <w:r w:rsidRPr="00471382">
        <w:t>amplitude</w:t>
      </w:r>
      <w:proofErr w:type="gramEnd"/>
      <w:r w:rsidRPr="00471382">
        <w:t xml:space="preserve"> and phase relationships to characterize mode shape and geographic extent.</w:t>
      </w:r>
    </w:p>
    <w:p w14:paraId="2694E5CE" w14:textId="77777777" w:rsidR="00471382" w:rsidRDefault="00471382" w:rsidP="00471382">
      <w:pPr>
        <w:numPr>
          <w:ilvl w:val="0"/>
          <w:numId w:val="6"/>
        </w:numPr>
        <w:spacing w:after="40" w:line="240" w:lineRule="auto"/>
      </w:pPr>
      <w:r w:rsidRPr="00471382">
        <w:t>Identify PMUs exhibiting the strongest participation in each oscillatory mode.</w:t>
      </w:r>
    </w:p>
    <w:p w14:paraId="22855C16" w14:textId="77777777" w:rsidR="00471382" w:rsidRDefault="00471382" w:rsidP="00471382">
      <w:pPr>
        <w:spacing w:after="40" w:line="240" w:lineRule="auto"/>
        <w:ind w:left="720"/>
      </w:pPr>
    </w:p>
    <w:p w14:paraId="70E027B8" w14:textId="77777777" w:rsidR="00DB02E6" w:rsidRPr="00471382" w:rsidRDefault="00DB02E6" w:rsidP="00471382">
      <w:pPr>
        <w:spacing w:after="40" w:line="240" w:lineRule="auto"/>
        <w:ind w:left="720"/>
      </w:pPr>
    </w:p>
    <w:p w14:paraId="3940CCE7" w14:textId="77777777" w:rsidR="00471382" w:rsidRPr="00471382" w:rsidRDefault="00471382" w:rsidP="00471382">
      <w:pPr>
        <w:spacing w:after="40" w:line="240" w:lineRule="auto"/>
      </w:pPr>
      <w:r w:rsidRPr="00471382">
        <w:rPr>
          <w:b/>
          <w:bCs/>
        </w:rPr>
        <w:lastRenderedPageBreak/>
        <w:t>5. Visualization and Reporting</w:t>
      </w:r>
    </w:p>
    <w:p w14:paraId="0601952F" w14:textId="77777777" w:rsidR="00471382" w:rsidRPr="00471382" w:rsidRDefault="00471382" w:rsidP="00471382">
      <w:pPr>
        <w:numPr>
          <w:ilvl w:val="0"/>
          <w:numId w:val="7"/>
        </w:numPr>
        <w:spacing w:after="40" w:line="240" w:lineRule="auto"/>
      </w:pPr>
      <w:r w:rsidRPr="00471382">
        <w:t xml:space="preserve">Display and export analysis results, including: </w:t>
      </w:r>
    </w:p>
    <w:p w14:paraId="05C4E8B2" w14:textId="77777777" w:rsidR="00471382" w:rsidRPr="00471382" w:rsidRDefault="00471382" w:rsidP="00471382">
      <w:pPr>
        <w:numPr>
          <w:ilvl w:val="1"/>
          <w:numId w:val="7"/>
        </w:numPr>
        <w:spacing w:after="40" w:line="240" w:lineRule="auto"/>
      </w:pPr>
      <w:r w:rsidRPr="00471382">
        <w:t>Dominant frequencies</w:t>
      </w:r>
    </w:p>
    <w:p w14:paraId="6E1FA61D" w14:textId="77777777" w:rsidR="00471382" w:rsidRPr="00471382" w:rsidRDefault="00471382" w:rsidP="00471382">
      <w:pPr>
        <w:numPr>
          <w:ilvl w:val="1"/>
          <w:numId w:val="7"/>
        </w:numPr>
        <w:spacing w:after="40" w:line="240" w:lineRule="auto"/>
      </w:pPr>
      <w:r w:rsidRPr="00471382">
        <w:t>Damping ratios</w:t>
      </w:r>
    </w:p>
    <w:p w14:paraId="4F34A23E" w14:textId="77777777" w:rsidR="00471382" w:rsidRPr="00471382" w:rsidRDefault="00471382" w:rsidP="00471382">
      <w:pPr>
        <w:numPr>
          <w:ilvl w:val="1"/>
          <w:numId w:val="7"/>
        </w:numPr>
        <w:spacing w:after="40" w:line="240" w:lineRule="auto"/>
      </w:pPr>
      <w:r w:rsidRPr="00471382">
        <w:t>Oscillation amplitudes</w:t>
      </w:r>
    </w:p>
    <w:p w14:paraId="3140FA2B" w14:textId="77777777" w:rsidR="00471382" w:rsidRPr="00471382" w:rsidRDefault="00471382" w:rsidP="00471382">
      <w:pPr>
        <w:numPr>
          <w:ilvl w:val="1"/>
          <w:numId w:val="7"/>
        </w:numPr>
        <w:spacing w:after="40" w:line="240" w:lineRule="auto"/>
      </w:pPr>
      <w:r w:rsidRPr="00471382">
        <w:t>Phase relationships</w:t>
      </w:r>
    </w:p>
    <w:p w14:paraId="24CA0EB4" w14:textId="77777777" w:rsidR="00471382" w:rsidRPr="00471382" w:rsidRDefault="00471382" w:rsidP="00471382">
      <w:pPr>
        <w:numPr>
          <w:ilvl w:val="1"/>
          <w:numId w:val="7"/>
        </w:numPr>
        <w:spacing w:after="40" w:line="240" w:lineRule="auto"/>
      </w:pPr>
      <w:r w:rsidRPr="00471382">
        <w:t>Mode shapes</w:t>
      </w:r>
    </w:p>
    <w:p w14:paraId="76A2C303" w14:textId="77777777" w:rsidR="00471382" w:rsidRPr="00471382" w:rsidRDefault="00471382" w:rsidP="00471382">
      <w:pPr>
        <w:numPr>
          <w:ilvl w:val="1"/>
          <w:numId w:val="7"/>
        </w:numPr>
        <w:spacing w:after="40" w:line="240" w:lineRule="auto"/>
      </w:pPr>
      <w:r w:rsidRPr="00471382">
        <w:t>Temporal trends</w:t>
      </w:r>
    </w:p>
    <w:p w14:paraId="5D20500F" w14:textId="77777777" w:rsidR="00471382" w:rsidRPr="00471382" w:rsidRDefault="00471382" w:rsidP="00471382">
      <w:pPr>
        <w:numPr>
          <w:ilvl w:val="1"/>
          <w:numId w:val="7"/>
        </w:numPr>
        <w:spacing w:after="40" w:line="240" w:lineRule="auto"/>
      </w:pPr>
      <w:r w:rsidRPr="00471382">
        <w:t>Confidence metrics</w:t>
      </w:r>
    </w:p>
    <w:p w14:paraId="3BAC46F6" w14:textId="77777777" w:rsidR="00471382" w:rsidRPr="00471382" w:rsidRDefault="00471382" w:rsidP="00471382">
      <w:pPr>
        <w:numPr>
          <w:ilvl w:val="0"/>
          <w:numId w:val="7"/>
        </w:numPr>
        <w:spacing w:after="40" w:line="240" w:lineRule="auto"/>
      </w:pPr>
      <w:r w:rsidRPr="00471382">
        <w:t>Generate summary reports and structured output files to support engineering analysis and long-term trend assessment.</w:t>
      </w:r>
    </w:p>
    <w:p w14:paraId="5B2B1A57" w14:textId="392BF130" w:rsidR="00471382" w:rsidRPr="00471382" w:rsidRDefault="00471382" w:rsidP="00471382">
      <w:pPr>
        <w:spacing w:after="40" w:line="240" w:lineRule="auto"/>
        <w:rPr>
          <w:b/>
          <w:bCs/>
        </w:rPr>
      </w:pPr>
      <w:r w:rsidRPr="00471382">
        <w:rPr>
          <w:b/>
          <w:bCs/>
        </w:rPr>
        <w:t xml:space="preserve">Confidence Metric </w:t>
      </w:r>
    </w:p>
    <w:p w14:paraId="1F9E66AE" w14:textId="77777777" w:rsidR="00471382" w:rsidRPr="00471382" w:rsidRDefault="00471382" w:rsidP="00471382">
      <w:pPr>
        <w:spacing w:after="40" w:line="240" w:lineRule="auto"/>
      </w:pPr>
      <w:r w:rsidRPr="00471382">
        <w:t>A confidence metric shall be calculated and reported for each identified oscillatory mode. The confidence metric shall reflect the reliability of the estimate based on factors such as signal-to-noise ratio, persistence across multiple analysis windows, and consistency among analytical methods. This metric shall be used to distinguish meaningful oscillatory modes from noise and spurious detections and to support prioritization of engineering review.</w:t>
      </w:r>
    </w:p>
    <w:p w14:paraId="4984710E" w14:textId="77777777" w:rsidR="009E1859" w:rsidRPr="00471382" w:rsidRDefault="009E1859" w:rsidP="00471382">
      <w:pPr>
        <w:spacing w:after="40" w:line="240" w:lineRule="auto"/>
      </w:pPr>
    </w:p>
    <w:sectPr w:rsidR="009E1859" w:rsidRPr="004713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143C2"/>
    <w:multiLevelType w:val="multilevel"/>
    <w:tmpl w:val="7E10B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573A18"/>
    <w:multiLevelType w:val="multilevel"/>
    <w:tmpl w:val="CEFACE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BA4D7A"/>
    <w:multiLevelType w:val="multilevel"/>
    <w:tmpl w:val="FDF43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0B6984"/>
    <w:multiLevelType w:val="hybridMultilevel"/>
    <w:tmpl w:val="5E2C251C"/>
    <w:lvl w:ilvl="0" w:tplc="039CEA5C">
      <w:start w:val="1"/>
      <w:numFmt w:val="decimal"/>
      <w:lvlText w:val="%1."/>
      <w:lvlJc w:val="left"/>
      <w:pPr>
        <w:tabs>
          <w:tab w:val="num" w:pos="720"/>
        </w:tabs>
        <w:ind w:left="720" w:hanging="360"/>
      </w:pPr>
    </w:lvl>
    <w:lvl w:ilvl="1" w:tplc="713EB470">
      <w:start w:val="1"/>
      <w:numFmt w:val="lowerLetter"/>
      <w:lvlText w:val="%2)"/>
      <w:lvlJc w:val="left"/>
      <w:pPr>
        <w:tabs>
          <w:tab w:val="num" w:pos="1440"/>
        </w:tabs>
        <w:ind w:left="1440" w:hanging="360"/>
      </w:pPr>
    </w:lvl>
    <w:lvl w:ilvl="2" w:tplc="C08431DE" w:tentative="1">
      <w:start w:val="1"/>
      <w:numFmt w:val="decimal"/>
      <w:lvlText w:val="%3."/>
      <w:lvlJc w:val="left"/>
      <w:pPr>
        <w:tabs>
          <w:tab w:val="num" w:pos="2160"/>
        </w:tabs>
        <w:ind w:left="2160" w:hanging="360"/>
      </w:pPr>
    </w:lvl>
    <w:lvl w:ilvl="3" w:tplc="77101B7E" w:tentative="1">
      <w:start w:val="1"/>
      <w:numFmt w:val="decimal"/>
      <w:lvlText w:val="%4."/>
      <w:lvlJc w:val="left"/>
      <w:pPr>
        <w:tabs>
          <w:tab w:val="num" w:pos="2880"/>
        </w:tabs>
        <w:ind w:left="2880" w:hanging="360"/>
      </w:pPr>
    </w:lvl>
    <w:lvl w:ilvl="4" w:tplc="126AAA02" w:tentative="1">
      <w:start w:val="1"/>
      <w:numFmt w:val="decimal"/>
      <w:lvlText w:val="%5."/>
      <w:lvlJc w:val="left"/>
      <w:pPr>
        <w:tabs>
          <w:tab w:val="num" w:pos="3600"/>
        </w:tabs>
        <w:ind w:left="3600" w:hanging="360"/>
      </w:pPr>
    </w:lvl>
    <w:lvl w:ilvl="5" w:tplc="AC5A6998" w:tentative="1">
      <w:start w:val="1"/>
      <w:numFmt w:val="decimal"/>
      <w:lvlText w:val="%6."/>
      <w:lvlJc w:val="left"/>
      <w:pPr>
        <w:tabs>
          <w:tab w:val="num" w:pos="4320"/>
        </w:tabs>
        <w:ind w:left="4320" w:hanging="360"/>
      </w:pPr>
    </w:lvl>
    <w:lvl w:ilvl="6" w:tplc="5BF2E70C" w:tentative="1">
      <w:start w:val="1"/>
      <w:numFmt w:val="decimal"/>
      <w:lvlText w:val="%7."/>
      <w:lvlJc w:val="left"/>
      <w:pPr>
        <w:tabs>
          <w:tab w:val="num" w:pos="5040"/>
        </w:tabs>
        <w:ind w:left="5040" w:hanging="360"/>
      </w:pPr>
    </w:lvl>
    <w:lvl w:ilvl="7" w:tplc="34E465A2" w:tentative="1">
      <w:start w:val="1"/>
      <w:numFmt w:val="decimal"/>
      <w:lvlText w:val="%8."/>
      <w:lvlJc w:val="left"/>
      <w:pPr>
        <w:tabs>
          <w:tab w:val="num" w:pos="5760"/>
        </w:tabs>
        <w:ind w:left="5760" w:hanging="360"/>
      </w:pPr>
    </w:lvl>
    <w:lvl w:ilvl="8" w:tplc="8C1E0266" w:tentative="1">
      <w:start w:val="1"/>
      <w:numFmt w:val="decimal"/>
      <w:lvlText w:val="%9."/>
      <w:lvlJc w:val="left"/>
      <w:pPr>
        <w:tabs>
          <w:tab w:val="num" w:pos="6480"/>
        </w:tabs>
        <w:ind w:left="6480" w:hanging="360"/>
      </w:pPr>
    </w:lvl>
  </w:abstractNum>
  <w:abstractNum w:abstractNumId="4" w15:restartNumberingAfterBreak="0">
    <w:nsid w:val="26107BDA"/>
    <w:multiLevelType w:val="multilevel"/>
    <w:tmpl w:val="5EB00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3152D8"/>
    <w:multiLevelType w:val="multilevel"/>
    <w:tmpl w:val="D70ED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7955A88"/>
    <w:multiLevelType w:val="multilevel"/>
    <w:tmpl w:val="C6487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891939">
    <w:abstractNumId w:val="5"/>
  </w:num>
  <w:num w:numId="2" w16cid:durableId="650215091">
    <w:abstractNumId w:val="3"/>
  </w:num>
  <w:num w:numId="3" w16cid:durableId="279654266">
    <w:abstractNumId w:val="4"/>
  </w:num>
  <w:num w:numId="4" w16cid:durableId="1366440460">
    <w:abstractNumId w:val="0"/>
  </w:num>
  <w:num w:numId="5" w16cid:durableId="789513328">
    <w:abstractNumId w:val="2"/>
  </w:num>
  <w:num w:numId="6" w16cid:durableId="1438017559">
    <w:abstractNumId w:val="6"/>
  </w:num>
  <w:num w:numId="7" w16cid:durableId="686640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CF6"/>
    <w:rsid w:val="000E5BCB"/>
    <w:rsid w:val="001936D6"/>
    <w:rsid w:val="00471382"/>
    <w:rsid w:val="00594AC4"/>
    <w:rsid w:val="007F2769"/>
    <w:rsid w:val="00943CD3"/>
    <w:rsid w:val="009E1859"/>
    <w:rsid w:val="00A86CF6"/>
    <w:rsid w:val="00DB02E6"/>
    <w:rsid w:val="00FE7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0495F"/>
  <w15:chartTrackingRefBased/>
  <w15:docId w15:val="{1F851BFD-40AF-434A-B902-54B145D06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6C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6C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6C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6C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6C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6C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6C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6C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6C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6C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6C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6C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6C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6C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6C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6C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6C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6CF6"/>
    <w:rPr>
      <w:rFonts w:eastAsiaTheme="majorEastAsia" w:cstheme="majorBidi"/>
      <w:color w:val="272727" w:themeColor="text1" w:themeTint="D8"/>
    </w:rPr>
  </w:style>
  <w:style w:type="paragraph" w:styleId="Title">
    <w:name w:val="Title"/>
    <w:basedOn w:val="Normal"/>
    <w:next w:val="Normal"/>
    <w:link w:val="TitleChar"/>
    <w:uiPriority w:val="10"/>
    <w:qFormat/>
    <w:rsid w:val="00A86C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6C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6C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6C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6CF6"/>
    <w:pPr>
      <w:spacing w:before="160"/>
      <w:jc w:val="center"/>
    </w:pPr>
    <w:rPr>
      <w:i/>
      <w:iCs/>
      <w:color w:val="404040" w:themeColor="text1" w:themeTint="BF"/>
    </w:rPr>
  </w:style>
  <w:style w:type="character" w:customStyle="1" w:styleId="QuoteChar">
    <w:name w:val="Quote Char"/>
    <w:basedOn w:val="DefaultParagraphFont"/>
    <w:link w:val="Quote"/>
    <w:uiPriority w:val="29"/>
    <w:rsid w:val="00A86CF6"/>
    <w:rPr>
      <w:i/>
      <w:iCs/>
      <w:color w:val="404040" w:themeColor="text1" w:themeTint="BF"/>
    </w:rPr>
  </w:style>
  <w:style w:type="paragraph" w:styleId="ListParagraph">
    <w:name w:val="List Paragraph"/>
    <w:basedOn w:val="Normal"/>
    <w:uiPriority w:val="34"/>
    <w:qFormat/>
    <w:rsid w:val="00A86CF6"/>
    <w:pPr>
      <w:ind w:left="720"/>
      <w:contextualSpacing/>
    </w:pPr>
  </w:style>
  <w:style w:type="character" w:styleId="IntenseEmphasis">
    <w:name w:val="Intense Emphasis"/>
    <w:basedOn w:val="DefaultParagraphFont"/>
    <w:uiPriority w:val="21"/>
    <w:qFormat/>
    <w:rsid w:val="00A86CF6"/>
    <w:rPr>
      <w:i/>
      <w:iCs/>
      <w:color w:val="0F4761" w:themeColor="accent1" w:themeShade="BF"/>
    </w:rPr>
  </w:style>
  <w:style w:type="paragraph" w:styleId="IntenseQuote">
    <w:name w:val="Intense Quote"/>
    <w:basedOn w:val="Normal"/>
    <w:next w:val="Normal"/>
    <w:link w:val="IntenseQuoteChar"/>
    <w:uiPriority w:val="30"/>
    <w:qFormat/>
    <w:rsid w:val="00A86C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6CF6"/>
    <w:rPr>
      <w:i/>
      <w:iCs/>
      <w:color w:val="0F4761" w:themeColor="accent1" w:themeShade="BF"/>
    </w:rPr>
  </w:style>
  <w:style w:type="character" w:styleId="IntenseReference">
    <w:name w:val="Intense Reference"/>
    <w:basedOn w:val="DefaultParagraphFont"/>
    <w:uiPriority w:val="32"/>
    <w:qFormat/>
    <w:rsid w:val="00A86C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380</Words>
  <Characters>2436</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Southern Company</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 Clifton R.</dc:creator>
  <cp:keywords/>
  <dc:description/>
  <cp:lastModifiedBy>Black, Clifton R.</cp:lastModifiedBy>
  <cp:revision>3</cp:revision>
  <dcterms:created xsi:type="dcterms:W3CDTF">2026-07-17T13:51:00Z</dcterms:created>
  <dcterms:modified xsi:type="dcterms:W3CDTF">2026-07-17T15:00:00Z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2026-07-17T14:45:55Z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3988495c-1c22-4406-a827-5ef5291848f3</vt:lpwstr>
  </property>
  <property fmtid="{D5CDD505-2E9C-101B-9397-08002B2CF9AE}" pid="8" name="MSIP_Label_ed3826ce-7c18-471d-9596-93de5bae332e_ContentBits">
    <vt:lpwstr>0</vt:lpwstr>
  </property>
  <property fmtid="{D5CDD505-2E9C-101B-9397-08002B2CF9AE}" pid="9" name="MSIP_Label_ed3826ce-7c18-471d-9596-93de5bae332e_Tag">
    <vt:lpwstr>10, 3, 0, 1</vt:lpwstr>
  </property>
</Properties>
</file>